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324B" w14:textId="07B9DC2F" w:rsidR="00FE067E" w:rsidRPr="00EB15E8" w:rsidRDefault="00EA74E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0B8F1" wp14:editId="0D58D46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1EDAD" w14:textId="17008653" w:rsidR="00EA74EA" w:rsidRPr="00EA74EA" w:rsidRDefault="00EA74EA" w:rsidP="00EA74E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A74E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8F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cqNgIAAGg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j/j30PzjPA9DKMTHN8orLtlIT4wj7OCuHD+4z0eUgM2A2eLkhb8r7/5&#10;Uz5KiFFKOpy9moafR+YFJfqbRXHToGYjE0eJH7370bBHswZENcXtcjybeMlHPZrSg3nC1VillzDE&#10;LMf3ahpHcx2HLcDV4mK1ykk4ko7Frd05nkqPHD72T8y7szYRRb2DcTJZ9UaiIXcQaXWMIFXWL5E6&#10;MHnmGsc5S3FevbQvr79z1ssfxPI3AA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t9cqNgIAAGg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0421EDAD" w14:textId="17008653" w:rsidR="00EA74EA" w:rsidRPr="00EA74EA" w:rsidRDefault="00EA74EA" w:rsidP="00EA74E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A74E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B15E8">
        <w:rPr>
          <w:color w:val="auto"/>
        </w:rPr>
        <w:t>WEST virginia legislature</w:t>
      </w:r>
    </w:p>
    <w:p w14:paraId="35DD2C68" w14:textId="5F5BEC3D" w:rsidR="00CD36CF" w:rsidRPr="00EB15E8" w:rsidRDefault="00CD36CF" w:rsidP="00CC1F3B">
      <w:pPr>
        <w:pStyle w:val="TitlePageSession"/>
        <w:rPr>
          <w:color w:val="auto"/>
        </w:rPr>
      </w:pPr>
      <w:r w:rsidRPr="00EB15E8">
        <w:rPr>
          <w:color w:val="auto"/>
        </w:rPr>
        <w:t>20</w:t>
      </w:r>
      <w:r w:rsidR="00CB1ADC" w:rsidRPr="00EB15E8">
        <w:rPr>
          <w:color w:val="auto"/>
        </w:rPr>
        <w:t>2</w:t>
      </w:r>
      <w:r w:rsidR="00CE5BB7" w:rsidRPr="00EB15E8">
        <w:rPr>
          <w:color w:val="auto"/>
        </w:rPr>
        <w:t>1</w:t>
      </w:r>
      <w:r w:rsidRPr="00EB15E8">
        <w:rPr>
          <w:color w:val="auto"/>
        </w:rPr>
        <w:t xml:space="preserve"> regular session</w:t>
      </w:r>
    </w:p>
    <w:p w14:paraId="00FD5E5D" w14:textId="5B6D1C31" w:rsidR="00CD36CF" w:rsidRPr="00EB15E8" w:rsidRDefault="00CE5BB7" w:rsidP="00CC1F3B">
      <w:pPr>
        <w:pStyle w:val="TitlePageBillPrefix"/>
        <w:rPr>
          <w:color w:val="auto"/>
        </w:rPr>
      </w:pPr>
      <w:r w:rsidRPr="00EB15E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D8FB" wp14:editId="151754D8">
                <wp:simplePos x="0" y="0"/>
                <wp:positionH relativeFrom="column">
                  <wp:posOffset>7629524</wp:posOffset>
                </wp:positionH>
                <wp:positionV relativeFrom="paragraph">
                  <wp:posOffset>479425</wp:posOffset>
                </wp:positionV>
                <wp:extent cx="298450" cy="476250"/>
                <wp:effectExtent l="0" t="0" r="254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8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EC0D1" w14:textId="31133509" w:rsidR="009A4614" w:rsidRPr="009A4614" w:rsidRDefault="009A4614" w:rsidP="009A461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A461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D8FB" id="_x0000_s1027" type="#_x0000_t202" style="position:absolute;left:0;text-align:left;margin-left:600.75pt;margin-top:37.75pt;width:23.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" filled="f" strokeweight=".5pt">
                <v:textbox inset="0,5pt,0,0">
                  <w:txbxContent>
                    <w:p w14:paraId="5B0EC0D1" w14:textId="31133509" w:rsidR="009A4614" w:rsidRPr="009A4614" w:rsidRDefault="009A4614" w:rsidP="009A461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A461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1361D8AEDEE24A359EF6ECEE72E540BE"/>
          </w:placeholder>
          <w:text/>
        </w:sdtPr>
        <w:sdtEndPr/>
        <w:sdtContent>
          <w:r w:rsidR="00AE48A0" w:rsidRPr="00EB15E8">
            <w:rPr>
              <w:color w:val="auto"/>
            </w:rPr>
            <w:t>Introduced</w:t>
          </w:r>
        </w:sdtContent>
      </w:sdt>
    </w:p>
    <w:p w14:paraId="1319BB54" w14:textId="19773C06" w:rsidR="00CD36CF" w:rsidRPr="00EB15E8" w:rsidRDefault="00C258B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6A3E4684CF44740AA90D5C710C6021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43455" w:rsidRPr="00EB15E8">
            <w:rPr>
              <w:color w:val="auto"/>
            </w:rPr>
            <w:t>Senate</w:t>
          </w:r>
        </w:sdtContent>
      </w:sdt>
      <w:r w:rsidR="00303684" w:rsidRPr="00EB15E8">
        <w:rPr>
          <w:color w:val="auto"/>
        </w:rPr>
        <w:t xml:space="preserve"> </w:t>
      </w:r>
      <w:r w:rsidR="00CD36CF" w:rsidRPr="00EB15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D82EA32ECF741758F6ECC9E798334DE"/>
          </w:placeholder>
          <w:text/>
        </w:sdtPr>
        <w:sdtEndPr/>
        <w:sdtContent>
          <w:r w:rsidR="005D2DE0">
            <w:rPr>
              <w:color w:val="auto"/>
            </w:rPr>
            <w:t>225</w:t>
          </w:r>
        </w:sdtContent>
      </w:sdt>
    </w:p>
    <w:p w14:paraId="5D343911" w14:textId="2741A882" w:rsidR="00CD36CF" w:rsidRPr="00EB15E8" w:rsidRDefault="00CD36CF" w:rsidP="00CC1F3B">
      <w:pPr>
        <w:pStyle w:val="Sponsors"/>
        <w:rPr>
          <w:color w:val="auto"/>
        </w:rPr>
      </w:pPr>
      <w:r w:rsidRPr="00EB15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FA9413B4E604FDF970A6B9249FB8C66"/>
          </w:placeholder>
          <w:text w:multiLine="1"/>
        </w:sdtPr>
        <w:sdtEndPr/>
        <w:sdtContent>
          <w:r w:rsidR="00A00153" w:rsidRPr="00EB15E8">
            <w:rPr>
              <w:color w:val="auto"/>
            </w:rPr>
            <w:t>Senator</w:t>
          </w:r>
          <w:r w:rsidR="0003361B">
            <w:rPr>
              <w:color w:val="auto"/>
            </w:rPr>
            <w:t>s</w:t>
          </w:r>
          <w:r w:rsidR="00A00153" w:rsidRPr="00EB15E8">
            <w:rPr>
              <w:color w:val="auto"/>
            </w:rPr>
            <w:t xml:space="preserve"> Baldwin</w:t>
          </w:r>
          <w:r w:rsidR="0003361B">
            <w:rPr>
              <w:color w:val="auto"/>
            </w:rPr>
            <w:t>, Lindsay, Caputo</w:t>
          </w:r>
          <w:r w:rsidR="00FA3237">
            <w:rPr>
              <w:color w:val="auto"/>
            </w:rPr>
            <w:t>, Jeffries</w:t>
          </w:r>
          <w:r w:rsidR="00C258B1">
            <w:rPr>
              <w:color w:val="auto"/>
            </w:rPr>
            <w:t>, and Romano</w:t>
          </w:r>
        </w:sdtContent>
      </w:sdt>
    </w:p>
    <w:p w14:paraId="377E2551" w14:textId="3D40AD1D" w:rsidR="00E831B3" w:rsidRPr="00EB15E8" w:rsidRDefault="00CD36CF" w:rsidP="00CC1F3B">
      <w:pPr>
        <w:pStyle w:val="References"/>
        <w:rPr>
          <w:color w:val="auto"/>
        </w:rPr>
      </w:pPr>
      <w:r w:rsidRPr="00EB15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9A35A9CB2104E26A61ABF21A5EE3B65"/>
          </w:placeholder>
          <w:text w:multiLine="1"/>
        </w:sdtPr>
        <w:sdtEndPr/>
        <w:sdtContent>
          <w:r w:rsidR="005D2DE0" w:rsidRPr="00EB15E8">
            <w:rPr>
              <w:color w:val="auto"/>
            </w:rPr>
            <w:t xml:space="preserve">Introduced </w:t>
          </w:r>
          <w:r w:rsidR="005D2DE0" w:rsidRPr="00A7146F">
            <w:rPr>
              <w:color w:val="auto"/>
            </w:rPr>
            <w:t>February 11, 2021; referred</w:t>
          </w:r>
          <w:r w:rsidR="005D2DE0" w:rsidRPr="00EB15E8">
            <w:rPr>
              <w:color w:val="auto"/>
            </w:rPr>
            <w:br/>
            <w:t>to the Committee on</w:t>
          </w:r>
          <w:r w:rsidR="00FE09F0">
            <w:rPr>
              <w:color w:val="auto"/>
            </w:rPr>
            <w:t xml:space="preserve"> Finance</w:t>
          </w:r>
        </w:sdtContent>
      </w:sdt>
      <w:r w:rsidRPr="00EB15E8">
        <w:rPr>
          <w:color w:val="auto"/>
        </w:rPr>
        <w:t>]</w:t>
      </w:r>
    </w:p>
    <w:p w14:paraId="7D6A7860" w14:textId="77777777" w:rsidR="00303684" w:rsidRPr="00EB15E8" w:rsidRDefault="0000526A" w:rsidP="00CC1F3B">
      <w:pPr>
        <w:pStyle w:val="TitleSection"/>
        <w:rPr>
          <w:color w:val="auto"/>
        </w:rPr>
      </w:pPr>
      <w:r w:rsidRPr="00EB15E8">
        <w:rPr>
          <w:color w:val="auto"/>
        </w:rPr>
        <w:lastRenderedPageBreak/>
        <w:t>A BILL</w:t>
      </w:r>
      <w:r w:rsidR="006775F8" w:rsidRPr="00EB15E8">
        <w:rPr>
          <w:color w:val="auto"/>
        </w:rPr>
        <w:t xml:space="preserve"> to amend the Code of West Virginia, 1931, as amended, by adding thereto a new section, designated §</w:t>
      </w:r>
      <w:r w:rsidR="00A00153" w:rsidRPr="00EB15E8">
        <w:rPr>
          <w:color w:val="auto"/>
        </w:rPr>
        <w:t>11-21-25, relating to creating a tax credit for individuals who successfully complete a firearms safety course.</w:t>
      </w:r>
    </w:p>
    <w:p w14:paraId="789906EA" w14:textId="77777777" w:rsidR="00303684" w:rsidRPr="00EB15E8" w:rsidRDefault="00303684" w:rsidP="00CC1F3B">
      <w:pPr>
        <w:pStyle w:val="EnactingClause"/>
        <w:rPr>
          <w:color w:val="auto"/>
        </w:rPr>
      </w:pPr>
      <w:r w:rsidRPr="00EB15E8">
        <w:rPr>
          <w:color w:val="auto"/>
        </w:rPr>
        <w:t>Be it enacted by the Legislature of West Virginia:</w:t>
      </w:r>
    </w:p>
    <w:p w14:paraId="21AB2B95" w14:textId="77777777" w:rsidR="00A00153" w:rsidRPr="00EB15E8" w:rsidRDefault="00A00153" w:rsidP="00F72EBA">
      <w:pPr>
        <w:pStyle w:val="ArticleHeading"/>
        <w:rPr>
          <w:color w:val="auto"/>
        </w:rPr>
        <w:sectPr w:rsidR="00A00153" w:rsidRPr="00EB15E8" w:rsidSect="001D4C02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B15E8">
        <w:rPr>
          <w:color w:val="auto"/>
        </w:rPr>
        <w:t>ARTICLE 21. PERSONAL INCOME TAX.</w:t>
      </w:r>
    </w:p>
    <w:p w14:paraId="3EB3AE3F" w14:textId="77777777" w:rsidR="00A00153" w:rsidRPr="00EB15E8" w:rsidRDefault="00A00153" w:rsidP="00A00153">
      <w:pPr>
        <w:pStyle w:val="SectionHeading"/>
        <w:rPr>
          <w:color w:val="auto"/>
          <w:u w:val="single"/>
        </w:rPr>
      </w:pPr>
      <w:r w:rsidRPr="00EB15E8">
        <w:rPr>
          <w:color w:val="auto"/>
          <w:u w:val="single"/>
        </w:rPr>
        <w:t>§11-21-25. Firearm safety course expenses tax credit</w:t>
      </w:r>
      <w:r w:rsidR="00C46BE4" w:rsidRPr="00EB15E8">
        <w:rPr>
          <w:color w:val="auto"/>
          <w:u w:val="single"/>
        </w:rPr>
        <w:t>; definition</w:t>
      </w:r>
      <w:r w:rsidRPr="00EB15E8">
        <w:rPr>
          <w:color w:val="auto"/>
          <w:u w:val="single"/>
        </w:rPr>
        <w:t>.</w:t>
      </w:r>
    </w:p>
    <w:p w14:paraId="0E308CCB" w14:textId="77777777" w:rsidR="00A00153" w:rsidRPr="00EB15E8" w:rsidRDefault="00A00153" w:rsidP="00A00153">
      <w:pPr>
        <w:pStyle w:val="SectionBody"/>
        <w:rPr>
          <w:color w:val="auto"/>
          <w:u w:val="single"/>
        </w:rPr>
        <w:sectPr w:rsidR="00A00153" w:rsidRPr="00EB15E8" w:rsidSect="001D4C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795FC6B" w14:textId="295E316F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>(a)</w:t>
      </w:r>
      <w:r w:rsidRPr="00EB15E8">
        <w:rPr>
          <w:i/>
          <w:color w:val="auto"/>
          <w:u w:val="single"/>
        </w:rPr>
        <w:t xml:space="preserve"> Credit allowed.</w:t>
      </w:r>
      <w:r w:rsidRPr="00EB15E8">
        <w:rPr>
          <w:color w:val="auto"/>
          <w:u w:val="single"/>
        </w:rPr>
        <w:t xml:space="preserve"> — For those tax years beginning on or after January 1, 202</w:t>
      </w:r>
      <w:r w:rsidR="00CE5BB7" w:rsidRPr="00EB15E8">
        <w:rPr>
          <w:color w:val="auto"/>
          <w:u w:val="single"/>
        </w:rPr>
        <w:t>1</w:t>
      </w:r>
      <w:r w:rsidRPr="00EB15E8">
        <w:rPr>
          <w:color w:val="auto"/>
          <w:u w:val="single"/>
        </w:rPr>
        <w:t>, there is allowed a nonrefundable credit for enrolling in and successfully completing a firearm safety course by a qualified individual.</w:t>
      </w:r>
    </w:p>
    <w:p w14:paraId="5001894F" w14:textId="77777777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 xml:space="preserve">(b) </w:t>
      </w:r>
      <w:r w:rsidRPr="00EB15E8">
        <w:rPr>
          <w:i/>
          <w:color w:val="auto"/>
          <w:u w:val="single"/>
        </w:rPr>
        <w:t>Amount of credit.</w:t>
      </w:r>
      <w:r w:rsidRPr="00EB15E8">
        <w:rPr>
          <w:color w:val="auto"/>
          <w:u w:val="single"/>
        </w:rPr>
        <w:t xml:space="preserve"> — A qualified individual may claim a tax credit not to exceed $250.</w:t>
      </w:r>
    </w:p>
    <w:p w14:paraId="65FD8007" w14:textId="6D2AEE0F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 xml:space="preserve">(c) </w:t>
      </w:r>
      <w:r w:rsidRPr="00EB15E8">
        <w:rPr>
          <w:i/>
          <w:color w:val="auto"/>
          <w:u w:val="single"/>
        </w:rPr>
        <w:t>Unused credit.</w:t>
      </w:r>
      <w:r w:rsidRPr="00EB15E8">
        <w:rPr>
          <w:color w:val="auto"/>
          <w:u w:val="single"/>
        </w:rPr>
        <w:t xml:space="preserve"> — If any credit remains after application of </w:t>
      </w:r>
      <w:r w:rsidR="00DD0FC7" w:rsidRPr="00EB15E8">
        <w:rPr>
          <w:color w:val="auto"/>
          <w:u w:val="single"/>
        </w:rPr>
        <w:t xml:space="preserve">this section </w:t>
      </w:r>
      <w:r w:rsidRPr="00EB15E8">
        <w:rPr>
          <w:color w:val="auto"/>
          <w:u w:val="single"/>
        </w:rPr>
        <w:t>that amount is forfeited. A carryback to a prior taxable year is not allowed for the amount of any unused portion of any annual credit allowance.</w:t>
      </w:r>
    </w:p>
    <w:p w14:paraId="49256EB3" w14:textId="131A354C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 xml:space="preserve">(d) </w:t>
      </w:r>
      <w:r w:rsidRPr="00EB15E8">
        <w:rPr>
          <w:i/>
          <w:iCs/>
          <w:color w:val="auto"/>
          <w:u w:val="single"/>
        </w:rPr>
        <w:t>Firearms safety course defined</w:t>
      </w:r>
      <w:r w:rsidRPr="00EB15E8">
        <w:rPr>
          <w:color w:val="auto"/>
          <w:u w:val="single"/>
        </w:rPr>
        <w:t>. -- For the purposes of this section “firearms safety course</w:t>
      </w:r>
      <w:r w:rsidR="00330C48" w:rsidRPr="00EB15E8">
        <w:rPr>
          <w:color w:val="auto"/>
          <w:u w:val="single"/>
        </w:rPr>
        <w:t>”</w:t>
      </w:r>
      <w:r w:rsidRPr="00EB15E8">
        <w:rPr>
          <w:color w:val="auto"/>
          <w:u w:val="single"/>
        </w:rPr>
        <w:t xml:space="preserve"> means:</w:t>
      </w:r>
    </w:p>
    <w:p w14:paraId="3C14A0EB" w14:textId="77777777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>(1) An official National Rifle Association handgun safety or training course;</w:t>
      </w:r>
    </w:p>
    <w:p w14:paraId="7E6E33AE" w14:textId="65D2EE52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>(2) A handgun safety or training course or class available to the general public offered by an official law-enforcement organization, community college, junior college, college</w:t>
      </w:r>
      <w:r w:rsidR="00985BC9" w:rsidRPr="00EB15E8">
        <w:rPr>
          <w:color w:val="auto"/>
          <w:u w:val="single"/>
        </w:rPr>
        <w:t>,</w:t>
      </w:r>
      <w:r w:rsidRPr="00EB15E8">
        <w:rPr>
          <w:color w:val="auto"/>
          <w:u w:val="single"/>
        </w:rPr>
        <w:t xml:space="preserve"> or private or public institution or organization or handgun training school utilizing instructors certified by the institution;</w:t>
      </w:r>
    </w:p>
    <w:p w14:paraId="64C19205" w14:textId="59C65A2D" w:rsidR="00A00153" w:rsidRPr="00EB15E8" w:rsidRDefault="00A00153" w:rsidP="00A00153">
      <w:pPr>
        <w:pStyle w:val="SectionBody"/>
        <w:rPr>
          <w:color w:val="auto"/>
          <w:u w:val="single"/>
        </w:rPr>
      </w:pPr>
      <w:r w:rsidRPr="00EB15E8">
        <w:rPr>
          <w:color w:val="auto"/>
          <w:u w:val="single"/>
        </w:rPr>
        <w:t xml:space="preserve">(3) A handgun training or safety course or class conducted by a handgun instructor certified as such by the </w:t>
      </w:r>
      <w:r w:rsidR="00574D52" w:rsidRPr="00EB15E8">
        <w:rPr>
          <w:color w:val="auto"/>
          <w:u w:val="single"/>
        </w:rPr>
        <w:t>s</w:t>
      </w:r>
      <w:r w:rsidRPr="00EB15E8">
        <w:rPr>
          <w:color w:val="auto"/>
          <w:u w:val="single"/>
        </w:rPr>
        <w:t>tate</w:t>
      </w:r>
      <w:r w:rsidR="00985BC9" w:rsidRPr="00EB15E8">
        <w:rPr>
          <w:color w:val="auto"/>
          <w:u w:val="single"/>
        </w:rPr>
        <w:t>,</w:t>
      </w:r>
      <w:r w:rsidRPr="00EB15E8">
        <w:rPr>
          <w:color w:val="auto"/>
          <w:u w:val="single"/>
        </w:rPr>
        <w:t xml:space="preserve"> or by the National Rifle Association;</w:t>
      </w:r>
    </w:p>
    <w:p w14:paraId="710BB4BD" w14:textId="2B5AF149" w:rsidR="00A00153" w:rsidRPr="00EB15E8" w:rsidRDefault="00A00153" w:rsidP="00A00153">
      <w:pPr>
        <w:pStyle w:val="SectionBody"/>
        <w:rPr>
          <w:color w:val="auto"/>
        </w:rPr>
      </w:pPr>
      <w:r w:rsidRPr="00EB15E8">
        <w:rPr>
          <w:color w:val="auto"/>
          <w:u w:val="single"/>
        </w:rPr>
        <w:t xml:space="preserve">(4) A handgun training or safety course or class conducted by any branch of the United States military, </w:t>
      </w:r>
      <w:r w:rsidR="00985BC9" w:rsidRPr="00EB15E8">
        <w:rPr>
          <w:color w:val="auto"/>
          <w:u w:val="single"/>
        </w:rPr>
        <w:t>R</w:t>
      </w:r>
      <w:r w:rsidRPr="00EB15E8">
        <w:rPr>
          <w:color w:val="auto"/>
          <w:u w:val="single"/>
        </w:rPr>
        <w:t xml:space="preserve">eserve or National Guard or proof of other handgun qualification received while serving in any branch of the United States military, </w:t>
      </w:r>
      <w:r w:rsidR="00985BC9" w:rsidRPr="00EB15E8">
        <w:rPr>
          <w:color w:val="auto"/>
          <w:u w:val="single"/>
        </w:rPr>
        <w:t>R</w:t>
      </w:r>
      <w:r w:rsidRPr="00EB15E8">
        <w:rPr>
          <w:color w:val="auto"/>
          <w:u w:val="single"/>
        </w:rPr>
        <w:t>eserve or National Guard.</w:t>
      </w:r>
    </w:p>
    <w:p w14:paraId="69219837" w14:textId="77777777" w:rsidR="00C33014" w:rsidRPr="00EB15E8" w:rsidRDefault="00C33014" w:rsidP="00CC1F3B">
      <w:pPr>
        <w:pStyle w:val="Note"/>
        <w:rPr>
          <w:color w:val="auto"/>
        </w:rPr>
      </w:pPr>
    </w:p>
    <w:p w14:paraId="48D96300" w14:textId="77777777" w:rsidR="006865E9" w:rsidRPr="00EB15E8" w:rsidRDefault="00CF1DCA" w:rsidP="00CC1F3B">
      <w:pPr>
        <w:pStyle w:val="Note"/>
        <w:rPr>
          <w:color w:val="auto"/>
        </w:rPr>
      </w:pPr>
      <w:r w:rsidRPr="00EB15E8">
        <w:rPr>
          <w:color w:val="auto"/>
        </w:rPr>
        <w:lastRenderedPageBreak/>
        <w:t>NOTE: The</w:t>
      </w:r>
      <w:r w:rsidR="006865E9" w:rsidRPr="00EB15E8">
        <w:rPr>
          <w:color w:val="auto"/>
        </w:rPr>
        <w:t xml:space="preserve"> purpose of this bill is to </w:t>
      </w:r>
      <w:r w:rsidR="00A00153" w:rsidRPr="00EB15E8">
        <w:rPr>
          <w:color w:val="auto"/>
        </w:rPr>
        <w:t>create a tax credit for individuals who successfully complete a firearms safety course.</w:t>
      </w:r>
    </w:p>
    <w:p w14:paraId="56B7DBDA" w14:textId="22A78BAC" w:rsidR="006865E9" w:rsidRPr="00EB15E8" w:rsidRDefault="00AE48A0" w:rsidP="00CC1F3B">
      <w:pPr>
        <w:pStyle w:val="Note"/>
        <w:rPr>
          <w:color w:val="auto"/>
        </w:rPr>
      </w:pPr>
      <w:r w:rsidRPr="00EB15E8">
        <w:rPr>
          <w:color w:val="auto"/>
        </w:rPr>
        <w:t>Strike-throughs indicate language that would be stricken from a heading or the present law</w:t>
      </w:r>
      <w:r w:rsidR="00985BC9" w:rsidRPr="00EB15E8">
        <w:rPr>
          <w:color w:val="auto"/>
        </w:rPr>
        <w:t>,</w:t>
      </w:r>
      <w:r w:rsidRPr="00EB15E8">
        <w:rPr>
          <w:color w:val="auto"/>
        </w:rPr>
        <w:t xml:space="preserve"> and underscoring indicates new language that would be added.</w:t>
      </w:r>
    </w:p>
    <w:sectPr w:rsidR="006865E9" w:rsidRPr="00EB15E8" w:rsidSect="001D4C0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A4BEE" w14:textId="77777777" w:rsidR="00E43827" w:rsidRPr="00B844FE" w:rsidRDefault="00E43827" w:rsidP="00B844FE">
      <w:r>
        <w:separator/>
      </w:r>
    </w:p>
  </w:endnote>
  <w:endnote w:type="continuationSeparator" w:id="0">
    <w:p w14:paraId="1258D446" w14:textId="77777777" w:rsidR="00E43827" w:rsidRPr="00B844FE" w:rsidRDefault="00E438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877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948E6" w14:textId="475FAB10" w:rsidR="00CA2A66" w:rsidRDefault="00CA2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1C0F0" w14:textId="77777777" w:rsidR="004E69B3" w:rsidRDefault="004E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31FD7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8E2B90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0FF7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B44E" w14:textId="77777777" w:rsidR="00E43827" w:rsidRPr="00B844FE" w:rsidRDefault="00E43827" w:rsidP="00B844FE">
      <w:r>
        <w:separator/>
      </w:r>
    </w:p>
  </w:footnote>
  <w:footnote w:type="continuationSeparator" w:id="0">
    <w:p w14:paraId="673BA2A8" w14:textId="77777777" w:rsidR="00E43827" w:rsidRPr="00B844FE" w:rsidRDefault="00E438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A5FE" w14:textId="40C70ABF" w:rsidR="00C46BE4" w:rsidRDefault="00143455">
    <w:pPr>
      <w:pStyle w:val="Header"/>
    </w:pPr>
    <w:r>
      <w:t>Intr</w:t>
    </w:r>
    <w:r w:rsidR="001D4C02">
      <w:t xml:space="preserve"> SB</w:t>
    </w:r>
    <w:r w:rsidR="005D2DE0">
      <w:t xml:space="preserve"> 225</w:t>
    </w:r>
    <w:r>
      <w:tab/>
    </w:r>
    <w:r>
      <w:tab/>
    </w:r>
    <w:r w:rsidR="00CE5BB7">
      <w:t>2021R1698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CD7D" w14:textId="21FE2F82" w:rsidR="00C46BE4" w:rsidRDefault="00143455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FA3A" w14:textId="0799B423" w:rsidR="002A0269" w:rsidRPr="00B844FE" w:rsidRDefault="002A0269" w:rsidP="00CE5BB7">
    <w:pPr>
      <w:pStyle w:val="Header"/>
      <w:ind w:firstLine="720"/>
    </w:pPr>
    <w:r w:rsidRPr="00B844FE">
      <w:ptab w:relativeTo="margin" w:alignment="left" w:leader="none"/>
    </w:r>
    <w:r w:rsidR="00CE5BB7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D552" w14:textId="061BD4DE" w:rsidR="00C33014" w:rsidRPr="00C33014" w:rsidRDefault="00AE48A0" w:rsidP="00CE5BB7">
    <w:pPr>
      <w:pStyle w:val="HeaderStyle"/>
      <w:tabs>
        <w:tab w:val="left" w:pos="4230"/>
      </w:tabs>
    </w:pPr>
    <w:r>
      <w:t>I</w:t>
    </w:r>
    <w:r w:rsidR="001A66B7">
      <w:t>ntr</w:t>
    </w:r>
    <w:r w:rsidR="001D4C02">
      <w:t xml:space="preserve"> SB</w:t>
    </w:r>
    <w:r w:rsidR="00C33014">
      <w:tab/>
    </w:r>
    <w:r w:rsidR="00CE5BB7">
      <w:tab/>
    </w:r>
    <w:r w:rsidR="00CE5BB7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E5BB7">
          <w:t>2021R1698</w:t>
        </w:r>
      </w:sdtContent>
    </w:sdt>
  </w:p>
  <w:p w14:paraId="3C4F9304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2F27" w14:textId="77777777" w:rsidR="002A0269" w:rsidRPr="002A0269" w:rsidRDefault="00C258B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00153">
          <w:t>2020R1605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2C"/>
    <w:rsid w:val="0000526A"/>
    <w:rsid w:val="0003361B"/>
    <w:rsid w:val="000573A9"/>
    <w:rsid w:val="00085D22"/>
    <w:rsid w:val="000C5C77"/>
    <w:rsid w:val="000E3912"/>
    <w:rsid w:val="0010070F"/>
    <w:rsid w:val="0013153C"/>
    <w:rsid w:val="00143455"/>
    <w:rsid w:val="0015112E"/>
    <w:rsid w:val="001552E7"/>
    <w:rsid w:val="001566B4"/>
    <w:rsid w:val="001A66B7"/>
    <w:rsid w:val="001C279E"/>
    <w:rsid w:val="001D459E"/>
    <w:rsid w:val="001D4C02"/>
    <w:rsid w:val="0027011C"/>
    <w:rsid w:val="00274200"/>
    <w:rsid w:val="00275740"/>
    <w:rsid w:val="002A0269"/>
    <w:rsid w:val="00303684"/>
    <w:rsid w:val="003143F5"/>
    <w:rsid w:val="00314854"/>
    <w:rsid w:val="003255D1"/>
    <w:rsid w:val="00330C48"/>
    <w:rsid w:val="00394191"/>
    <w:rsid w:val="003C51CD"/>
    <w:rsid w:val="004368E0"/>
    <w:rsid w:val="004659F4"/>
    <w:rsid w:val="004C13DD"/>
    <w:rsid w:val="004D6FDF"/>
    <w:rsid w:val="004E3441"/>
    <w:rsid w:val="004E69B3"/>
    <w:rsid w:val="00500579"/>
    <w:rsid w:val="00574D52"/>
    <w:rsid w:val="005A3DAE"/>
    <w:rsid w:val="005A5366"/>
    <w:rsid w:val="005D2DE0"/>
    <w:rsid w:val="006369EB"/>
    <w:rsid w:val="00637E73"/>
    <w:rsid w:val="006775F8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F4EC6"/>
    <w:rsid w:val="009056BE"/>
    <w:rsid w:val="00980327"/>
    <w:rsid w:val="00985BC9"/>
    <w:rsid w:val="00986478"/>
    <w:rsid w:val="009A4614"/>
    <w:rsid w:val="009B5557"/>
    <w:rsid w:val="009F1067"/>
    <w:rsid w:val="00A00153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58B1"/>
    <w:rsid w:val="00C33014"/>
    <w:rsid w:val="00C33434"/>
    <w:rsid w:val="00C34869"/>
    <w:rsid w:val="00C42EB6"/>
    <w:rsid w:val="00C46BE4"/>
    <w:rsid w:val="00C47658"/>
    <w:rsid w:val="00C85096"/>
    <w:rsid w:val="00CA2A66"/>
    <w:rsid w:val="00CB1ADC"/>
    <w:rsid w:val="00CB20EF"/>
    <w:rsid w:val="00CC1F3B"/>
    <w:rsid w:val="00CD12CB"/>
    <w:rsid w:val="00CD36CF"/>
    <w:rsid w:val="00CE5BB7"/>
    <w:rsid w:val="00CF1DCA"/>
    <w:rsid w:val="00D52D76"/>
    <w:rsid w:val="00D579FC"/>
    <w:rsid w:val="00D81C16"/>
    <w:rsid w:val="00DD0FC7"/>
    <w:rsid w:val="00DE526B"/>
    <w:rsid w:val="00DF199D"/>
    <w:rsid w:val="00E01542"/>
    <w:rsid w:val="00E365F1"/>
    <w:rsid w:val="00E43827"/>
    <w:rsid w:val="00E62F48"/>
    <w:rsid w:val="00E831B3"/>
    <w:rsid w:val="00E95FBC"/>
    <w:rsid w:val="00EA74EA"/>
    <w:rsid w:val="00EB15E8"/>
    <w:rsid w:val="00EE70CB"/>
    <w:rsid w:val="00F028B4"/>
    <w:rsid w:val="00F41CA2"/>
    <w:rsid w:val="00F443C0"/>
    <w:rsid w:val="00F62EFB"/>
    <w:rsid w:val="00F7359F"/>
    <w:rsid w:val="00F939A4"/>
    <w:rsid w:val="00FA3237"/>
    <w:rsid w:val="00FA7B09"/>
    <w:rsid w:val="00FB2F2C"/>
    <w:rsid w:val="00FD5B51"/>
    <w:rsid w:val="00FE067E"/>
    <w:rsid w:val="00FE09F0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67367B"/>
  <w15:chartTrackingRefBased/>
  <w15:docId w15:val="{DFF9D185-538C-4A44-9471-36794F4D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A00153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A00153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A00153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A46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61D8AEDEE24A359EF6ECEE72E5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BD8E-D362-4B88-9652-6FCFC9BECB57}"/>
      </w:docPartPr>
      <w:docPartBody>
        <w:p w:rsidR="00227C50" w:rsidRDefault="00227C50">
          <w:pPr>
            <w:pStyle w:val="1361D8AEDEE24A359EF6ECEE72E540BE"/>
          </w:pPr>
          <w:r w:rsidRPr="00B844FE">
            <w:t>Prefix Text</w:t>
          </w:r>
        </w:p>
      </w:docPartBody>
    </w:docPart>
    <w:docPart>
      <w:docPartPr>
        <w:name w:val="C6A3E4684CF44740AA90D5C710C6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C60D-EDA5-465F-B9D8-FC4731F2D1D1}"/>
      </w:docPartPr>
      <w:docPartBody>
        <w:p w:rsidR="00227C50" w:rsidRDefault="0095065A">
          <w:pPr>
            <w:pStyle w:val="C6A3E4684CF44740AA90D5C710C6021E"/>
          </w:pPr>
          <w:r w:rsidRPr="00B844FE">
            <w:t>[Type here]</w:t>
          </w:r>
        </w:p>
      </w:docPartBody>
    </w:docPart>
    <w:docPart>
      <w:docPartPr>
        <w:name w:val="FD82EA32ECF741758F6ECC9E7983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C7C7-C24A-4B29-8A73-6A7B0CA862C7}"/>
      </w:docPartPr>
      <w:docPartBody>
        <w:p w:rsidR="00227C50" w:rsidRDefault="0095065A" w:rsidP="0095065A">
          <w:pPr>
            <w:pStyle w:val="FD82EA32ECF741758F6ECC9E798334DE3"/>
          </w:pPr>
          <w:r w:rsidRPr="00330C48">
            <w:rPr>
              <w:color w:val="auto"/>
            </w:rPr>
            <w:t>Number</w:t>
          </w:r>
        </w:p>
      </w:docPartBody>
    </w:docPart>
    <w:docPart>
      <w:docPartPr>
        <w:name w:val="0FA9413B4E604FDF970A6B9249FB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575B-B285-4AC9-8CC7-24C881E84463}"/>
      </w:docPartPr>
      <w:docPartBody>
        <w:p w:rsidR="00227C50" w:rsidRDefault="00227C50">
          <w:pPr>
            <w:pStyle w:val="0FA9413B4E604FDF970A6B9249FB8C66"/>
          </w:pPr>
          <w:r w:rsidRPr="00B844FE">
            <w:t>Enter Sponsors Here</w:t>
          </w:r>
        </w:p>
      </w:docPartBody>
    </w:docPart>
    <w:docPart>
      <w:docPartPr>
        <w:name w:val="79A35A9CB2104E26A61ABF21A5EE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79E3-E6DE-4FC4-92CB-E84297028735}"/>
      </w:docPartPr>
      <w:docPartBody>
        <w:p w:rsidR="00227C50" w:rsidRDefault="00227C50">
          <w:pPr>
            <w:pStyle w:val="79A35A9CB2104E26A61ABF21A5EE3B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50"/>
    <w:rsid w:val="00227C50"/>
    <w:rsid w:val="0095065A"/>
    <w:rsid w:val="00A62AA1"/>
    <w:rsid w:val="00D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61D8AEDEE24A359EF6ECEE72E540BE">
    <w:name w:val="1361D8AEDEE24A359EF6ECEE72E540BE"/>
  </w:style>
  <w:style w:type="paragraph" w:customStyle="1" w:styleId="C6A3E4684CF44740AA90D5C710C6021E">
    <w:name w:val="C6A3E4684CF44740AA90D5C710C6021E"/>
  </w:style>
  <w:style w:type="paragraph" w:customStyle="1" w:styleId="0FA9413B4E604FDF970A6B9249FB8C66">
    <w:name w:val="0FA9413B4E604FDF970A6B9249FB8C66"/>
  </w:style>
  <w:style w:type="character" w:styleId="PlaceholderText">
    <w:name w:val="Placeholder Text"/>
    <w:basedOn w:val="DefaultParagraphFont"/>
    <w:uiPriority w:val="99"/>
    <w:semiHidden/>
    <w:rsid w:val="0095065A"/>
    <w:rPr>
      <w:color w:val="808080"/>
    </w:rPr>
  </w:style>
  <w:style w:type="paragraph" w:customStyle="1" w:styleId="79A35A9CB2104E26A61ABF21A5EE3B65">
    <w:name w:val="79A35A9CB2104E26A61ABF21A5EE3B65"/>
  </w:style>
  <w:style w:type="paragraph" w:customStyle="1" w:styleId="FD82EA32ECF741758F6ECC9E798334DE3">
    <w:name w:val="FD82EA32ECF741758F6ECC9E798334DE3"/>
    <w:rsid w:val="0095065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7705-01A0-4F27-A8B9-6F8D2651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5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Xris Hess</cp:lastModifiedBy>
  <cp:revision>11</cp:revision>
  <cp:lastPrinted>2021-02-10T19:59:00Z</cp:lastPrinted>
  <dcterms:created xsi:type="dcterms:W3CDTF">2021-01-14T20:39:00Z</dcterms:created>
  <dcterms:modified xsi:type="dcterms:W3CDTF">2021-02-23T19:58:00Z</dcterms:modified>
</cp:coreProperties>
</file>